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05495"/>
    <w:bookmarkStart w:id="1" w:name="_GoBack"/>
    <w:bookmarkEnd w:id="1"/>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0B352"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460D60F2" w14:textId="30B34E96" w:rsidR="00F94724" w:rsidRPr="003A2E52" w:rsidRDefault="00F94724" w:rsidP="00F94724">
      <w:pPr>
        <w:spacing w:after="0" w:line="276" w:lineRule="auto"/>
        <w:rPr>
          <w:rFonts w:ascii="Arial" w:hAnsi="Arial" w:cs="Arial"/>
          <w:sz w:val="32"/>
          <w:szCs w:val="32"/>
        </w:rPr>
      </w:pPr>
      <w:bookmarkStart w:id="2" w:name="_Hlk10549552"/>
      <w:r w:rsidRPr="00E67D08">
        <w:rPr>
          <w:rFonts w:ascii="Arial" w:hAnsi="Arial" w:cs="Arial"/>
          <w:b/>
          <w:sz w:val="36"/>
          <w:szCs w:val="28"/>
        </w:rPr>
        <w:t xml:space="preserve">Notice to </w:t>
      </w:r>
      <w:r w:rsidR="00916BDC">
        <w:rPr>
          <w:rFonts w:ascii="Arial" w:hAnsi="Arial" w:cs="Arial"/>
          <w:b/>
          <w:sz w:val="36"/>
          <w:szCs w:val="28"/>
        </w:rPr>
        <w:t>1099-MISC Contractors</w:t>
      </w:r>
      <w:r w:rsidR="00916BDC">
        <w:rPr>
          <w:rFonts w:ascii="Arial" w:hAnsi="Arial" w:cs="Arial"/>
          <w:b/>
          <w:sz w:val="36"/>
          <w:szCs w:val="28"/>
        </w:rPr>
        <w:br/>
      </w:r>
      <w:bookmarkStart w:id="3" w:name="_Hlk10549345"/>
      <w:bookmarkEnd w:id="2"/>
      <w:r w:rsidR="00916BDC" w:rsidRPr="001A6F1B">
        <w:rPr>
          <w:rFonts w:ascii="Arial" w:hAnsi="Arial" w:cs="Arial"/>
          <w:i/>
          <w:sz w:val="36"/>
          <w:szCs w:val="28"/>
        </w:rPr>
        <w:t>Covered Entities with 25 or more Workers</w:t>
      </w:r>
      <w:bookmarkEnd w:id="3"/>
      <w:r w:rsidR="00916BDC" w:rsidRPr="00E67D08">
        <w:rPr>
          <w:rFonts w:ascii="Arial" w:hAnsi="Arial" w:cs="Arial"/>
          <w:sz w:val="32"/>
          <w:szCs w:val="32"/>
        </w:rPr>
        <w:t xml:space="preserve"> </w:t>
      </w:r>
      <w:r w:rsidR="00916BDC">
        <w:rPr>
          <w:rFonts w:ascii="Arial" w:hAnsi="Arial" w:cs="Arial"/>
          <w:sz w:val="32"/>
          <w:szCs w:val="32"/>
        </w:rPr>
        <w:br/>
      </w: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DCFF919" w14:textId="77777777" w:rsidR="00916BDC" w:rsidRPr="00E157A2" w:rsidRDefault="00916BDC" w:rsidP="00916BDC">
            <w:pPr>
              <w:spacing w:line="276" w:lineRule="auto"/>
              <w:jc w:val="center"/>
              <w:rPr>
                <w:rFonts w:ascii="Arial" w:eastAsia="Times New Roman" w:hAnsi="Arial" w:cs="Arial"/>
                <w:sz w:val="20"/>
              </w:rPr>
            </w:pPr>
            <w:r w:rsidRPr="001A6F1B">
              <w:rPr>
                <w:rFonts w:ascii="Arial" w:eastAsia="Times New Roman" w:hAnsi="Arial" w:cs="Arial"/>
                <w:sz w:val="20"/>
              </w:rPr>
              <w:t>(Federal Employer ID Number)</w:t>
            </w:r>
            <w:r>
              <w:rPr>
                <w:rFonts w:ascii="Arial" w:eastAsia="Times New Roman" w:hAnsi="Arial" w:cs="Arial"/>
                <w:sz w:val="20"/>
              </w:rPr>
              <w:t xml:space="preserve"> (FEIN)</w:t>
            </w:r>
          </w:p>
          <w:p w14:paraId="61860997" w14:textId="77777777" w:rsidR="00F94724" w:rsidRPr="002F090E" w:rsidRDefault="00F94724" w:rsidP="00F94724">
            <w:pPr>
              <w:spacing w:line="276" w:lineRule="auto"/>
              <w:jc w:val="center"/>
              <w:rPr>
                <w:rFonts w:ascii="Times New Roman" w:eastAsia="Times New Roman" w:hAnsi="Times New Roman" w:cs="Times New Roman"/>
                <w:highlight w:val="yellow"/>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0B3019F5" w14:textId="79EF750D" w:rsidR="00803AC5" w:rsidRPr="00B43B3F" w:rsidRDefault="003E40BD" w:rsidP="00F94724">
      <w:pPr>
        <w:pStyle w:val="NormalWeb"/>
        <w:spacing w:before="0" w:beforeAutospacing="0" w:after="0" w:afterAutospacing="0" w:line="276" w:lineRule="auto"/>
        <w:rPr>
          <w:rFonts w:ascii="Arial" w:hAnsi="Arial" w:cs="Arial"/>
          <w:sz w:val="22"/>
          <w:szCs w:val="22"/>
        </w:rPr>
      </w:pPr>
      <w:bookmarkStart w:id="4" w:name="_Hlk10550989"/>
      <w:r w:rsidRPr="00B43B3F">
        <w:rPr>
          <w:rFonts w:ascii="Arial" w:hAnsi="Arial" w:cs="Arial"/>
          <w:sz w:val="22"/>
          <w:szCs w:val="22"/>
        </w:rPr>
        <w:t>Under the Massachusett</w:t>
      </w:r>
      <w:r w:rsidR="00BC66E9" w:rsidRPr="00B43B3F">
        <w:rPr>
          <w:rFonts w:ascii="Arial" w:hAnsi="Arial" w:cs="Arial"/>
          <w:sz w:val="22"/>
          <w:szCs w:val="22"/>
        </w:rPr>
        <w:t>s Family and Medical Leave Law, M.G.L. c. 175M,</w:t>
      </w:r>
      <w:r w:rsidRPr="00B43B3F">
        <w:rPr>
          <w:rFonts w:ascii="Arial" w:hAnsi="Arial" w:cs="Arial"/>
          <w:sz w:val="22"/>
          <w:szCs w:val="22"/>
        </w:rPr>
        <w:t xml:space="preserve"> a</w:t>
      </w:r>
      <w:r w:rsidR="005B6192" w:rsidRPr="00B43B3F">
        <w:rPr>
          <w:rFonts w:ascii="Arial" w:hAnsi="Arial" w:cs="Arial"/>
          <w:sz w:val="22"/>
          <w:szCs w:val="22"/>
        </w:rPr>
        <w:t xml:space="preserve"> </w:t>
      </w:r>
      <w:r w:rsidR="005B6192" w:rsidRPr="00B43B3F">
        <w:rPr>
          <w:rFonts w:ascii="Arial" w:hAnsi="Arial" w:cs="Arial"/>
          <w:b/>
          <w:sz w:val="22"/>
          <w:szCs w:val="22"/>
        </w:rPr>
        <w:t xml:space="preserve">covered business entity </w:t>
      </w:r>
      <w:r w:rsidRPr="00B43B3F">
        <w:rPr>
          <w:rFonts w:ascii="Arial" w:hAnsi="Arial" w:cs="Arial"/>
          <w:sz w:val="22"/>
          <w:szCs w:val="22"/>
        </w:rPr>
        <w:t xml:space="preserve">is required to </w:t>
      </w:r>
      <w:r w:rsidR="005B6192" w:rsidRPr="00B43B3F">
        <w:rPr>
          <w:rFonts w:ascii="Arial" w:hAnsi="Arial" w:cs="Arial"/>
          <w:sz w:val="22"/>
          <w:szCs w:val="22"/>
        </w:rPr>
        <w:t xml:space="preserve">provide to each </w:t>
      </w:r>
      <w:r w:rsidR="00C31B6E" w:rsidRPr="00B43B3F">
        <w:rPr>
          <w:rFonts w:ascii="Arial" w:hAnsi="Arial" w:cs="Arial"/>
          <w:sz w:val="22"/>
          <w:szCs w:val="22"/>
        </w:rPr>
        <w:t>of its 1099-MISC contractors</w:t>
      </w:r>
      <w:r w:rsidR="005B6192" w:rsidRPr="00B43B3F">
        <w:rPr>
          <w:rFonts w:ascii="Arial" w:hAnsi="Arial" w:cs="Arial"/>
          <w:sz w:val="22"/>
          <w:szCs w:val="22"/>
        </w:rPr>
        <w:t xml:space="preserve">, at the time </w:t>
      </w:r>
      <w:r w:rsidR="003D40E2" w:rsidRPr="00B43B3F">
        <w:rPr>
          <w:rFonts w:ascii="Arial" w:hAnsi="Arial" w:cs="Arial"/>
          <w:sz w:val="22"/>
          <w:szCs w:val="22"/>
        </w:rPr>
        <w:t>the</w:t>
      </w:r>
      <w:r w:rsidR="005B6192" w:rsidRPr="00B43B3F">
        <w:rPr>
          <w:rFonts w:ascii="Arial" w:hAnsi="Arial" w:cs="Arial"/>
          <w:sz w:val="22"/>
          <w:szCs w:val="22"/>
        </w:rPr>
        <w:t xml:space="preserve"> contract is made</w:t>
      </w:r>
      <w:r w:rsidR="00803AC5" w:rsidRPr="00B43B3F">
        <w:rPr>
          <w:rFonts w:ascii="Arial" w:hAnsi="Arial" w:cs="Arial"/>
          <w:sz w:val="22"/>
          <w:szCs w:val="22"/>
        </w:rPr>
        <w:t xml:space="preserve">, the information </w:t>
      </w:r>
      <w:r w:rsidR="002877DB" w:rsidRPr="00B43B3F">
        <w:rPr>
          <w:rFonts w:ascii="Arial" w:hAnsi="Arial" w:cs="Arial"/>
          <w:sz w:val="22"/>
          <w:szCs w:val="22"/>
        </w:rPr>
        <w:t xml:space="preserve">provided </w:t>
      </w:r>
      <w:r w:rsidR="00803AC5" w:rsidRPr="00B43B3F">
        <w:rPr>
          <w:rFonts w:ascii="Arial" w:hAnsi="Arial" w:cs="Arial"/>
          <w:sz w:val="22"/>
          <w:szCs w:val="22"/>
        </w:rPr>
        <w:t xml:space="preserve">in this Notice.  </w:t>
      </w:r>
    </w:p>
    <w:p w14:paraId="726A6829"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558D7E6D" w14:textId="28F58C69" w:rsidR="006837C1" w:rsidRPr="00B43B3F" w:rsidRDefault="00803AC5"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w:t>
      </w:r>
      <w:r w:rsidR="00AA23B9" w:rsidRPr="00B43B3F">
        <w:rPr>
          <w:rFonts w:ascii="Arial" w:hAnsi="Arial" w:cs="Arial"/>
          <w:sz w:val="22"/>
          <w:szCs w:val="22"/>
        </w:rPr>
        <w:t>such individuals on IRS Form 10</w:t>
      </w:r>
      <w:r w:rsidRPr="00B43B3F">
        <w:rPr>
          <w:rFonts w:ascii="Arial" w:hAnsi="Arial" w:cs="Arial"/>
          <w:sz w:val="22"/>
          <w:szCs w:val="22"/>
        </w:rPr>
        <w:t xml:space="preserve">99-MISC </w:t>
      </w:r>
      <w:r w:rsidR="00F46C02" w:rsidRPr="00B43B3F">
        <w:rPr>
          <w:rFonts w:ascii="Arial" w:hAnsi="Arial" w:cs="Arial"/>
          <w:b/>
          <w:i/>
          <w:sz w:val="22"/>
          <w:szCs w:val="22"/>
        </w:rPr>
        <w:t>for more than 50 per</w:t>
      </w:r>
      <w:r w:rsidRPr="00B43B3F">
        <w:rPr>
          <w:rFonts w:ascii="Arial" w:hAnsi="Arial" w:cs="Arial"/>
          <w:b/>
          <w:i/>
          <w:sz w:val="22"/>
          <w:szCs w:val="22"/>
        </w:rPr>
        <w:t>cent of its workforce</w:t>
      </w:r>
      <w:r w:rsidRPr="00B43B3F">
        <w:rPr>
          <w:rFonts w:ascii="Arial" w:hAnsi="Arial" w:cs="Arial"/>
          <w:sz w:val="22"/>
          <w:szCs w:val="22"/>
        </w:rPr>
        <w:t xml:space="preserve">.  </w:t>
      </w:r>
    </w:p>
    <w:p w14:paraId="1F7B126A"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0F680D30" w14:textId="03CE6BEA" w:rsidR="005B53EA" w:rsidRPr="00B43B3F" w:rsidRDefault="006837C1" w:rsidP="00F94724">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sidR="000E289A">
        <w:rPr>
          <w:rFonts w:ascii="Arial" w:hAnsi="Arial" w:cs="Arial"/>
          <w:b/>
          <w:sz w:val="22"/>
          <w:szCs w:val="22"/>
        </w:rPr>
        <w:t>organization</w:t>
      </w:r>
      <w:r w:rsidR="005B53EA" w:rsidRPr="00B43B3F">
        <w:rPr>
          <w:rFonts w:ascii="Arial" w:hAnsi="Arial" w:cs="Arial"/>
          <w:b/>
          <w:sz w:val="22"/>
          <w:szCs w:val="22"/>
        </w:rPr>
        <w:t>:</w:t>
      </w:r>
    </w:p>
    <w:p w14:paraId="788E4BB7" w14:textId="77777777" w:rsidR="00B43B3F" w:rsidRPr="00B43B3F" w:rsidRDefault="00B43B3F" w:rsidP="00F94724">
      <w:pPr>
        <w:pStyle w:val="NormalWeb"/>
        <w:spacing w:before="0" w:beforeAutospacing="0" w:after="0" w:afterAutospacing="0" w:line="276" w:lineRule="auto"/>
        <w:rPr>
          <w:rFonts w:ascii="Arial" w:hAnsi="Arial" w:cs="Arial"/>
          <w:b/>
          <w:sz w:val="22"/>
          <w:szCs w:val="22"/>
        </w:rPr>
      </w:pPr>
    </w:p>
    <w:p w14:paraId="56B1A174" w14:textId="06B03197" w:rsidR="007C7AFC" w:rsidRPr="00B43B3F" w:rsidRDefault="007C7AFC" w:rsidP="00F94724">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1B93CCE7" w14:textId="77777777" w:rsidR="007C7AFC" w:rsidRPr="00B43B3F" w:rsidRDefault="007C7AFC" w:rsidP="00F94724">
      <w:pPr>
        <w:spacing w:after="0" w:line="276" w:lineRule="auto"/>
        <w:ind w:left="1080"/>
        <w:contextualSpacing/>
        <w:rPr>
          <w:rFonts w:ascii="Arial" w:eastAsia="Times New Roman" w:hAnsi="Arial" w:cs="Arial"/>
        </w:rPr>
      </w:pPr>
    </w:p>
    <w:p w14:paraId="306B3317" w14:textId="220E53BA" w:rsidR="007C7AFC" w:rsidRPr="00B43B3F" w:rsidRDefault="007C7AFC" w:rsidP="00F94724">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468716CD" w14:textId="77777777" w:rsidR="00536C12" w:rsidRPr="00B43B3F" w:rsidRDefault="00536C12" w:rsidP="00F94724">
      <w:pPr>
        <w:spacing w:after="0" w:line="276" w:lineRule="auto"/>
        <w:contextualSpacing/>
        <w:rPr>
          <w:rFonts w:ascii="Arial" w:eastAsia="Times New Roman" w:hAnsi="Arial" w:cs="Arial"/>
          <w:b/>
          <w:sz w:val="20"/>
          <w:szCs w:val="20"/>
        </w:rPr>
      </w:pPr>
    </w:p>
    <w:p w14:paraId="7A7821CA" w14:textId="7FE805EC" w:rsidR="006837C1" w:rsidRPr="00B43B3F" w:rsidRDefault="004F1254" w:rsidP="00F94724">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sidR="000E289A">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xml:space="preserve">, it is </w:t>
      </w:r>
      <w:r w:rsidR="0057692E" w:rsidRPr="00B43B3F">
        <w:rPr>
          <w:rFonts w:ascii="Arial" w:hAnsi="Arial" w:cs="Arial"/>
          <w:sz w:val="22"/>
          <w:szCs w:val="22"/>
        </w:rPr>
        <w:t>required</w:t>
      </w:r>
      <w:r w:rsidR="006837C1" w:rsidRPr="00B43B3F">
        <w:rPr>
          <w:rFonts w:ascii="Arial" w:hAnsi="Arial" w:cs="Arial"/>
          <w:sz w:val="22"/>
          <w:szCs w:val="22"/>
        </w:rPr>
        <w:t xml:space="preserve"> under the law to remit contributions</w:t>
      </w:r>
      <w:r w:rsidR="00C67BB2" w:rsidRPr="00B43B3F">
        <w:rPr>
          <w:rFonts w:ascii="Arial" w:hAnsi="Arial" w:cs="Arial"/>
          <w:sz w:val="22"/>
          <w:szCs w:val="22"/>
        </w:rPr>
        <w:t xml:space="preserve">, </w:t>
      </w:r>
      <w:r w:rsidRPr="00B43B3F">
        <w:rPr>
          <w:rFonts w:ascii="Arial" w:hAnsi="Arial" w:cs="Arial"/>
          <w:sz w:val="22"/>
          <w:szCs w:val="22"/>
        </w:rPr>
        <w:t xml:space="preserve">on </w:t>
      </w:r>
      <w:r w:rsidR="006837C1" w:rsidRPr="00B43B3F">
        <w:rPr>
          <w:rFonts w:ascii="Arial" w:hAnsi="Arial" w:cs="Arial"/>
          <w:sz w:val="22"/>
          <w:szCs w:val="22"/>
        </w:rPr>
        <w:t>behalf of its 1099-MISC contractors</w:t>
      </w:r>
      <w:r w:rsidRPr="00B43B3F">
        <w:rPr>
          <w:rFonts w:ascii="Arial" w:hAnsi="Arial" w:cs="Arial"/>
          <w:sz w:val="22"/>
          <w:szCs w:val="22"/>
        </w:rPr>
        <w:t xml:space="preserve"> as if they </w:t>
      </w:r>
      <w:r w:rsidR="002877DB" w:rsidRPr="00B43B3F">
        <w:rPr>
          <w:rFonts w:ascii="Arial" w:hAnsi="Arial" w:cs="Arial"/>
          <w:sz w:val="22"/>
          <w:szCs w:val="22"/>
        </w:rPr>
        <w:t xml:space="preserve">were </w:t>
      </w:r>
      <w:r w:rsidRPr="00B43B3F">
        <w:rPr>
          <w:rFonts w:ascii="Arial" w:hAnsi="Arial" w:cs="Arial"/>
          <w:sz w:val="22"/>
          <w:szCs w:val="22"/>
        </w:rPr>
        <w:t>employees</w:t>
      </w:r>
      <w:r w:rsidR="002877DB" w:rsidRPr="00B43B3F">
        <w:rPr>
          <w:rFonts w:ascii="Arial" w:hAnsi="Arial" w:cs="Arial"/>
          <w:sz w:val="22"/>
          <w:szCs w:val="22"/>
        </w:rPr>
        <w:t>, as outlined below</w:t>
      </w:r>
      <w:r w:rsidRPr="00B43B3F">
        <w:rPr>
          <w:rFonts w:ascii="Arial" w:hAnsi="Arial" w:cs="Arial"/>
          <w:sz w:val="22"/>
          <w:szCs w:val="22"/>
        </w:rPr>
        <w:t xml:space="preserve">.  Accordingly, </w:t>
      </w:r>
      <w:r w:rsidR="002877DB" w:rsidRPr="00B43B3F">
        <w:rPr>
          <w:rFonts w:ascii="Arial" w:hAnsi="Arial" w:cs="Arial"/>
          <w:sz w:val="22"/>
          <w:szCs w:val="22"/>
        </w:rPr>
        <w:t xml:space="preserve">if this business is a covered business entity, </w:t>
      </w:r>
      <w:r w:rsidR="006837C1" w:rsidRPr="00B43B3F">
        <w:rPr>
          <w:rFonts w:ascii="Arial" w:hAnsi="Arial" w:cs="Arial"/>
          <w:sz w:val="22"/>
          <w:szCs w:val="22"/>
        </w:rPr>
        <w:t>you may be eligible for income replacement</w:t>
      </w:r>
      <w:r w:rsidR="00C67BB2" w:rsidRPr="00B43B3F">
        <w:rPr>
          <w:rFonts w:ascii="Arial" w:hAnsi="Arial" w:cs="Arial"/>
          <w:sz w:val="22"/>
          <w:szCs w:val="22"/>
        </w:rPr>
        <w:t xml:space="preserve"> in certain </w:t>
      </w:r>
      <w:r w:rsidR="00CE54B7" w:rsidRPr="00B43B3F">
        <w:rPr>
          <w:rFonts w:ascii="Arial" w:hAnsi="Arial" w:cs="Arial"/>
          <w:sz w:val="22"/>
          <w:szCs w:val="22"/>
        </w:rPr>
        <w:t>circumstance</w:t>
      </w:r>
      <w:r w:rsidR="00E5336F" w:rsidRPr="00B43B3F">
        <w:rPr>
          <w:rFonts w:ascii="Arial" w:hAnsi="Arial" w:cs="Arial"/>
          <w:sz w:val="22"/>
          <w:szCs w:val="22"/>
        </w:rPr>
        <w:t>s</w:t>
      </w:r>
      <w:r w:rsidR="002877DB" w:rsidRPr="00B43B3F">
        <w:rPr>
          <w:rFonts w:ascii="Arial" w:hAnsi="Arial" w:cs="Arial"/>
          <w:sz w:val="22"/>
          <w:szCs w:val="22"/>
        </w:rPr>
        <w:t xml:space="preserve"> as outlined</w:t>
      </w:r>
      <w:r w:rsidR="00CE54B7" w:rsidRPr="00B43B3F">
        <w:rPr>
          <w:rFonts w:ascii="Arial" w:hAnsi="Arial" w:cs="Arial"/>
          <w:sz w:val="22"/>
          <w:szCs w:val="22"/>
        </w:rPr>
        <w:t xml:space="preserve"> below</w:t>
      </w:r>
      <w:r w:rsidR="00C67BB2" w:rsidRPr="00B43B3F">
        <w:rPr>
          <w:rFonts w:ascii="Arial" w:hAnsi="Arial" w:cs="Arial"/>
          <w:sz w:val="22"/>
          <w:szCs w:val="22"/>
        </w:rPr>
        <w:t xml:space="preserve"> in the section titled “</w:t>
      </w:r>
      <w:r w:rsidR="00C67BB2" w:rsidRPr="00B43B3F">
        <w:rPr>
          <w:rFonts w:ascii="Arial" w:hAnsi="Arial" w:cs="Arial"/>
          <w:b/>
          <w:sz w:val="22"/>
          <w:szCs w:val="22"/>
        </w:rPr>
        <w:t>Explanation of Benefits</w:t>
      </w:r>
      <w:r w:rsidR="00C67BB2" w:rsidRPr="00B43B3F">
        <w:rPr>
          <w:rFonts w:ascii="Arial" w:hAnsi="Arial" w:cs="Arial"/>
          <w:sz w:val="22"/>
          <w:szCs w:val="22"/>
        </w:rPr>
        <w:t>.”</w:t>
      </w:r>
      <w:r w:rsidR="00CE54B7" w:rsidRPr="00B43B3F">
        <w:rPr>
          <w:rFonts w:ascii="Arial" w:hAnsi="Arial" w:cs="Arial"/>
          <w:sz w:val="22"/>
          <w:szCs w:val="22"/>
        </w:rPr>
        <w:t xml:space="preserve">  </w:t>
      </w:r>
    </w:p>
    <w:p w14:paraId="2B63AD82" w14:textId="77777777" w:rsidR="00B43B3F" w:rsidRPr="00B43B3F" w:rsidRDefault="00B43B3F" w:rsidP="00F94724">
      <w:pPr>
        <w:pStyle w:val="NormalWeb"/>
        <w:spacing w:before="0" w:beforeAutospacing="0" w:after="0" w:afterAutospacing="0" w:line="276" w:lineRule="auto"/>
        <w:rPr>
          <w:rFonts w:ascii="Arial" w:hAnsi="Arial" w:cs="Arial"/>
          <w:sz w:val="22"/>
          <w:szCs w:val="22"/>
        </w:rPr>
      </w:pPr>
    </w:p>
    <w:p w14:paraId="76C66561" w14:textId="67732A1C" w:rsidR="00B43B3F" w:rsidRPr="00916BDC" w:rsidRDefault="00C67BB2" w:rsidP="00916BDC">
      <w:pPr>
        <w:pStyle w:val="NormalWeb"/>
        <w:spacing w:before="0" w:beforeAutospacing="0" w:after="0" w:afterAutospacing="0" w:line="276" w:lineRule="auto"/>
        <w:rPr>
          <w:rFonts w:ascii="Arial" w:hAnsi="Arial" w:cs="Arial"/>
          <w:sz w:val="22"/>
          <w:szCs w:val="22"/>
        </w:rPr>
      </w:pPr>
      <w:bookmarkStart w:id="5" w:name="_Hlk10549770"/>
      <w:r w:rsidRPr="001A6F1B">
        <w:rPr>
          <w:rFonts w:ascii="Arial" w:hAnsi="Arial" w:cs="Arial"/>
          <w:sz w:val="22"/>
          <w:szCs w:val="22"/>
        </w:rPr>
        <w:t xml:space="preserve">If this </w:t>
      </w:r>
      <w:r w:rsidR="000E289A" w:rsidRPr="001A6F1B">
        <w:rPr>
          <w:rFonts w:ascii="Arial" w:hAnsi="Arial" w:cs="Arial"/>
          <w:sz w:val="22"/>
          <w:szCs w:val="22"/>
        </w:rPr>
        <w:t>organization</w:t>
      </w:r>
      <w:r w:rsidRPr="001A6F1B">
        <w:rPr>
          <w:rFonts w:ascii="Arial" w:hAnsi="Arial" w:cs="Arial"/>
          <w:sz w:val="22"/>
          <w:szCs w:val="22"/>
        </w:rPr>
        <w:t xml:space="preserve"> is not a covered business entity, you may still choose to become a covered individual </w:t>
      </w:r>
      <w:r w:rsidR="002877DB" w:rsidRPr="001A6F1B">
        <w:rPr>
          <w:rFonts w:ascii="Arial" w:hAnsi="Arial" w:cs="Arial"/>
          <w:sz w:val="22"/>
          <w:szCs w:val="22"/>
        </w:rPr>
        <w:t xml:space="preserve">under the Family and Medical Leave law. </w:t>
      </w:r>
      <w:r w:rsidR="00916BDC" w:rsidRPr="001A6F1B">
        <w:rPr>
          <w:rFonts w:ascii="Arial" w:hAnsi="Arial" w:cs="Arial"/>
          <w:sz w:val="22"/>
          <w:szCs w:val="22"/>
        </w:rPr>
        <w:t xml:space="preserve">If you choose to do so, please consult the </w:t>
      </w:r>
      <w:r w:rsidR="00916BDC" w:rsidRPr="001A6F1B">
        <w:rPr>
          <w:rFonts w:ascii="Arial" w:hAnsi="Arial" w:cs="Arial"/>
          <w:b/>
          <w:sz w:val="22"/>
          <w:szCs w:val="22"/>
        </w:rPr>
        <w:t>Self-Employed Notice of Election</w:t>
      </w:r>
      <w:r w:rsidR="00916BDC" w:rsidRPr="001A6F1B">
        <w:rPr>
          <w:rFonts w:ascii="Arial" w:hAnsi="Arial" w:cs="Arial"/>
          <w:sz w:val="22"/>
          <w:szCs w:val="22"/>
        </w:rPr>
        <w:t xml:space="preserve"> for further information</w:t>
      </w:r>
    </w:p>
    <w:bookmarkEnd w:id="4"/>
    <w:bookmarkEnd w:id="5"/>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C2E82"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1B138B17" w14:textId="77777777" w:rsidR="00916BDC" w:rsidRPr="00E157A2" w:rsidRDefault="00916BDC" w:rsidP="00916BDC">
      <w:pPr>
        <w:pStyle w:val="ListParagraph"/>
        <w:numPr>
          <w:ilvl w:val="0"/>
          <w:numId w:val="3"/>
        </w:numPr>
        <w:spacing w:after="0" w:line="276" w:lineRule="auto"/>
        <w:ind w:left="540"/>
        <w:rPr>
          <w:rFonts w:ascii="Arial" w:hAnsi="Arial" w:cs="Arial"/>
          <w:b/>
        </w:rPr>
      </w:pPr>
      <w:bookmarkStart w:id="6" w:name="_Hlk10549782"/>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7CBA940"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3B28E96C"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B8FA0AA" w14:textId="77777777" w:rsidR="00916BDC" w:rsidRPr="00E157A2" w:rsidRDefault="00916BDC" w:rsidP="00916BDC">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01357B9" w14:textId="77777777" w:rsidR="00916BDC" w:rsidRPr="00E157A2" w:rsidRDefault="00916BDC" w:rsidP="00916BDC">
      <w:pPr>
        <w:pStyle w:val="ListParagraph"/>
        <w:spacing w:after="0" w:line="276" w:lineRule="auto"/>
        <w:ind w:left="360"/>
        <w:rPr>
          <w:rFonts w:ascii="Arial" w:hAnsi="Arial" w:cs="Arial"/>
          <w:szCs w:val="24"/>
        </w:rPr>
      </w:pPr>
    </w:p>
    <w:p w14:paraId="4119365D" w14:textId="77777777" w:rsidR="00916BDC" w:rsidRDefault="00916BDC" w:rsidP="00916BDC">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1A6F1B">
        <w:rPr>
          <w:rFonts w:ascii="Arial" w:hAnsi="Arial" w:cs="Arial"/>
          <w:b/>
        </w:rPr>
        <w:t>July 1, 2021,</w:t>
      </w:r>
      <w:r w:rsidRPr="001A6F1B">
        <w:rPr>
          <w:rFonts w:ascii="Arial" w:hAnsi="Arial" w:cs="Arial"/>
        </w:rPr>
        <w:t xml:space="preserve"> </w:t>
      </w:r>
      <w:r w:rsidRPr="001A6F1B">
        <w:rPr>
          <w:rFonts w:ascii="Arial" w:hAnsi="Arial" w:cs="Arial"/>
          <w:szCs w:val="24"/>
        </w:rPr>
        <w:t>you may b</w:t>
      </w:r>
      <w:r w:rsidRPr="00E157A2">
        <w:rPr>
          <w:rFonts w:ascii="Arial" w:hAnsi="Arial" w:cs="Arial"/>
          <w:szCs w:val="24"/>
        </w:rPr>
        <w:t>e entitled to up to</w:t>
      </w:r>
    </w:p>
    <w:p w14:paraId="7F4765AC" w14:textId="77777777" w:rsidR="00916BDC" w:rsidRPr="00CA53A7" w:rsidRDefault="00916BDC" w:rsidP="00916BDC">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71147A28" w14:textId="77777777" w:rsidR="00916BDC" w:rsidRDefault="00916BDC" w:rsidP="00916BDC">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399F4858" w14:textId="77777777" w:rsidR="00916BDC" w:rsidRPr="00CA53A7" w:rsidRDefault="00916BDC" w:rsidP="00916BDC">
      <w:pPr>
        <w:pStyle w:val="ListParagraph"/>
        <w:spacing w:after="0" w:line="276" w:lineRule="auto"/>
        <w:ind w:left="900"/>
        <w:rPr>
          <w:rFonts w:ascii="Arial" w:hAnsi="Arial" w:cs="Arial"/>
          <w:szCs w:val="24"/>
        </w:rPr>
      </w:pPr>
    </w:p>
    <w:p w14:paraId="15DED2DE" w14:textId="16DE6655" w:rsidR="00DC24FD" w:rsidRPr="00916BDC" w:rsidRDefault="00916BDC" w:rsidP="002B0A1C">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bookmarkEnd w:id="6"/>
    <w:p w14:paraId="046AA38D" w14:textId="77777777" w:rsidR="00916BDC" w:rsidRDefault="00916BDC" w:rsidP="00F94724">
      <w:pPr>
        <w:spacing w:after="0" w:line="276" w:lineRule="auto"/>
        <w:rPr>
          <w:rFonts w:ascii="Arial" w:hAnsi="Arial" w:cs="Arial"/>
          <w:b/>
          <w:sz w:val="24"/>
          <w:szCs w:val="24"/>
        </w:rPr>
      </w:pPr>
    </w:p>
    <w:p w14:paraId="0A1C3A4E" w14:textId="5FD18866"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05480"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5107B685" w14:textId="6D9556DF" w:rsidR="00A10A61" w:rsidRPr="00FF4ABD" w:rsidRDefault="00EB2C0B" w:rsidP="00F94724">
      <w:pPr>
        <w:spacing w:after="0" w:line="276" w:lineRule="auto"/>
        <w:rPr>
          <w:rFonts w:ascii="Arial" w:hAnsi="Arial" w:cs="Arial"/>
        </w:rPr>
      </w:pPr>
      <w:bookmarkStart w:id="7" w:name="_Hlk10549794"/>
      <w:r w:rsidRPr="00FF4ABD">
        <w:rPr>
          <w:rFonts w:ascii="Arial" w:hAnsi="Arial" w:cs="Arial"/>
        </w:rPr>
        <w:t xml:space="preserve">On </w:t>
      </w:r>
      <w:r w:rsidR="00916BDC" w:rsidRPr="001A6F1B">
        <w:rPr>
          <w:rFonts w:ascii="Arial" w:hAnsi="Arial" w:cs="Arial"/>
          <w:szCs w:val="24"/>
        </w:rPr>
        <w:t xml:space="preserve">October 1, 2019, </w:t>
      </w:r>
      <w:r w:rsidRPr="001A6F1B">
        <w:rPr>
          <w:rFonts w:ascii="Arial" w:hAnsi="Arial" w:cs="Arial"/>
        </w:rPr>
        <w:t>c</w:t>
      </w:r>
      <w:r w:rsidRPr="00FF4ABD">
        <w:rPr>
          <w:rFonts w:ascii="Arial" w:hAnsi="Arial" w:cs="Arial"/>
        </w:rPr>
        <w:t>ontributions to the Department of Family and Medical Leave (DFML)</w:t>
      </w:r>
      <w:r w:rsidR="00AA23B9" w:rsidRPr="00FF4ABD">
        <w:rPr>
          <w:rFonts w:ascii="Arial" w:hAnsi="Arial" w:cs="Arial"/>
        </w:rPr>
        <w:t>’s</w:t>
      </w:r>
      <w:r w:rsidRPr="00FF4ABD">
        <w:rPr>
          <w:rFonts w:ascii="Arial" w:hAnsi="Arial" w:cs="Arial"/>
        </w:rPr>
        <w:t xml:space="preserve">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w:t>
      </w:r>
      <w:r w:rsidR="00A10A61" w:rsidRPr="00FF4ABD">
        <w:rPr>
          <w:rFonts w:ascii="Arial" w:hAnsi="Arial" w:cs="Arial"/>
        </w:rPr>
        <w:t xml:space="preserve">ntributions to the DFML for </w:t>
      </w:r>
      <w:r w:rsidR="00AA23B9" w:rsidRPr="00FF4ABD">
        <w:rPr>
          <w:rFonts w:ascii="Arial" w:hAnsi="Arial" w:cs="Arial"/>
        </w:rPr>
        <w:t xml:space="preserve">all </w:t>
      </w:r>
      <w:r w:rsidR="00A10A61" w:rsidRPr="00FF4ABD">
        <w:rPr>
          <w:rFonts w:ascii="Arial" w:hAnsi="Arial" w:cs="Arial"/>
        </w:rPr>
        <w:t xml:space="preserve">1099-MISC </w:t>
      </w:r>
      <w:r w:rsidRPr="00FF4ABD">
        <w:rPr>
          <w:rFonts w:ascii="Arial" w:hAnsi="Arial" w:cs="Arial"/>
        </w:rPr>
        <w:t>self-</w:t>
      </w:r>
      <w:r w:rsidR="00A23B9F" w:rsidRPr="00FF4ABD">
        <w:rPr>
          <w:rFonts w:ascii="Arial" w:hAnsi="Arial" w:cs="Arial"/>
        </w:rPr>
        <w:t xml:space="preserve">employed individuals </w:t>
      </w:r>
      <w:r w:rsidR="002877DB" w:rsidRPr="00FF4ABD">
        <w:rPr>
          <w:rFonts w:ascii="Arial" w:hAnsi="Arial" w:cs="Arial"/>
        </w:rPr>
        <w:t xml:space="preserve">in its workforce if those self-employed individuals </w:t>
      </w:r>
      <w:r w:rsidR="00A10A61" w:rsidRPr="00FF4ABD">
        <w:rPr>
          <w:rFonts w:ascii="Arial" w:hAnsi="Arial" w:cs="Arial"/>
        </w:rPr>
        <w:t xml:space="preserve">make up more than </w:t>
      </w:r>
      <w:r w:rsidR="00F46C02" w:rsidRPr="00FF4ABD">
        <w:rPr>
          <w:rFonts w:ascii="Arial" w:hAnsi="Arial" w:cs="Arial"/>
        </w:rPr>
        <w:t>50 per</w:t>
      </w:r>
      <w:r w:rsidRPr="00FF4ABD">
        <w:rPr>
          <w:rFonts w:ascii="Arial" w:hAnsi="Arial" w:cs="Arial"/>
        </w:rPr>
        <w:t xml:space="preserve">cent of its workforce.  </w:t>
      </w:r>
      <w:r w:rsidR="00A83DBA">
        <w:rPr>
          <w:rFonts w:ascii="Arial" w:hAnsi="Arial" w:cs="Arial"/>
        </w:rPr>
        <w:t>The contribution rate may be adjusted annually and can be found in the attached effective rate notice.</w:t>
      </w:r>
    </w:p>
    <w:bookmarkEnd w:id="7"/>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5F450"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49C70F0C" w:rsidR="00F94724" w:rsidRDefault="00F94724" w:rsidP="00F94724">
      <w:pPr>
        <w:spacing w:after="0" w:line="276" w:lineRule="auto"/>
        <w:rPr>
          <w:rFonts w:ascii="Arial" w:hAnsi="Arial" w:cs="Arial"/>
          <w:b/>
          <w:sz w:val="24"/>
          <w:szCs w:val="24"/>
        </w:rPr>
      </w:pPr>
    </w:p>
    <w:p w14:paraId="5D94F9A5" w14:textId="77777777" w:rsidR="00916BDC" w:rsidRDefault="00916BDC" w:rsidP="00F94724">
      <w:pPr>
        <w:spacing w:after="0" w:line="276" w:lineRule="auto"/>
        <w:rPr>
          <w:rFonts w:ascii="Arial" w:hAnsi="Arial" w:cs="Arial"/>
          <w:b/>
          <w:sz w:val="24"/>
          <w:szCs w:val="24"/>
        </w:rPr>
      </w:pPr>
    </w:p>
    <w:p w14:paraId="77C3B726" w14:textId="77777777" w:rsidR="00916BDC" w:rsidRDefault="00916BDC" w:rsidP="00F94724">
      <w:pPr>
        <w:spacing w:after="0" w:line="276" w:lineRule="auto"/>
        <w:rPr>
          <w:rFonts w:ascii="Arial" w:hAnsi="Arial" w:cs="Arial"/>
          <w:b/>
          <w:sz w:val="24"/>
          <w:szCs w:val="24"/>
        </w:rPr>
      </w:pPr>
    </w:p>
    <w:p w14:paraId="7C54FEDA" w14:textId="77777777" w:rsidR="00916BDC" w:rsidRDefault="00916BDC" w:rsidP="00F94724">
      <w:pPr>
        <w:spacing w:after="0" w:line="276" w:lineRule="auto"/>
        <w:rPr>
          <w:rFonts w:ascii="Arial" w:hAnsi="Arial" w:cs="Arial"/>
          <w:b/>
          <w:sz w:val="24"/>
          <w:szCs w:val="24"/>
        </w:rPr>
      </w:pPr>
    </w:p>
    <w:p w14:paraId="45F3926D" w14:textId="77546935"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F4CCD"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E2CB58E" w14:textId="77777777" w:rsidR="00F94724" w:rsidRPr="00F94724" w:rsidRDefault="00F94724"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7A0D1"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19 Staniford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A1071D" w:rsidP="00F94724">
      <w:pPr>
        <w:spacing w:after="0" w:line="276" w:lineRule="auto"/>
        <w:ind w:firstLine="720"/>
        <w:rPr>
          <w:rFonts w:ascii="Arial" w:hAnsi="Arial" w:cs="Arial"/>
        </w:rPr>
      </w:pPr>
      <w:hyperlink r:id="rId9"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76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597FE675"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430BE">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29877A22"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7C51BEF0" w14:textId="77777777" w:rsidR="00A83DBA" w:rsidRDefault="00A83DBA">
      <w:pPr>
        <w:rPr>
          <w:rFonts w:ascii="Arial" w:hAnsi="Arial" w:cs="Arial"/>
          <w:sz w:val="24"/>
          <w:szCs w:val="24"/>
        </w:rPr>
      </w:pPr>
      <w:r>
        <w:rPr>
          <w:rFonts w:ascii="Arial" w:hAnsi="Arial" w:cs="Arial"/>
          <w:sz w:val="24"/>
          <w:szCs w:val="24"/>
        </w:rPr>
        <w:br w:type="page"/>
      </w:r>
    </w:p>
    <w:p w14:paraId="7E6D15E3" w14:textId="77777777"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478462F8" wp14:editId="3CD5ACB2">
                <wp:simplePos x="0" y="0"/>
                <wp:positionH relativeFrom="margin">
                  <wp:align>left</wp:align>
                </wp:positionH>
                <wp:positionV relativeFrom="paragraph">
                  <wp:posOffset>191770</wp:posOffset>
                </wp:positionV>
                <wp:extent cx="1792751" cy="99892"/>
                <wp:effectExtent l="0" t="0" r="0" b="0"/>
                <wp:wrapNone/>
                <wp:docPr id="1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744D1" id="Rectangle 6" o:spid="_x0000_s1026" style="position:absolute;margin-left:0;margin-top:15.1pt;width:141.15pt;height: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dtww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ROmeY0z+gTWuN4qyRbEz6FxK4jdN3e2nTkMydljYWv6wg12DJw+9pzKo2cC&#10;P8fLbLKcA1tgLcvOswlhpk/KYuf8b9IEIL6/dT4eSY5RIDRvdyWM1q7y8guOsagVTumXlI3YgZGF&#10;xWjeHuVL8T+fi5csyxbZ94S/YJ89dot72sJQacROWJj8iIWhUtj/KSvTgZVXcDQUfxX+7G34z8VP&#10;MPT8wP7T57uYTufL7HQE/W/PF3m+7TKZl11yi6NusxsjhlJDVYOSvTGOCskw1VE1uilSOZYOaJH0&#10;CWWk5VB5/CZlnMhQuStar7OMdBoqT99kGbkyVJ4NlUEndtByZ1Gm6VpT4VrzCcO1ZhOGa21DOmCT&#10;e6K8G7JDrMZUK1lJxZgKIa3WZi8fTJDzLwo5LD6tKj2U6uoubbc7mU6i+zYBbxzzIDjWl18gd1Ld&#10;N0oj/4H4WrmXloUyTsYwIf/DVdMTQfwNrhtnVJXfVEqR685uN9fKsj0Hp9Pz8/l82VL/TEyF0NOG&#10;1KIZ+pPSJRmvxTDyj0oSqNKfZIHrFUE9CVSHxkb2drgQUvtxXCp5LqP5+QhPZ51aIdIIrgRAQi5g&#10;v8duATrJCNJhx1228qQqQ1/UK8fU+87GonKvESwb7XvlutLGfsszBa9ay1G+IylSQyxtTP6I5sOa&#10;2JW5RtxU1vlb7vwdt7jgEQloLf1HvAplEL6I0zBC/Br79Vv/SR7dEVYTdkBbt07cXztuZcLU7xp9&#10;UzaezQDrw2Q2X04wscOVzXBF7+prg3BAKcHuwpDkveqGhTX1Z3SgV2QVS1wL2EbJ8sjEOLn2mGMJ&#10;PayQV1dhjN4PMXmr7xtB4MRqA88fjp+5bRgN14lHB/XBdC0gX3W9EWL4SZY0tbnaeVNU1DiFOIy8&#10;thP0jSFw2h6XGtPhPEg9deKXfwMAAP//AwBQSwMEFAAGAAgAAAAhAPqlyD3eAAAABgEAAA8AAABk&#10;cnMvZG93bnJldi54bWxMj81OwzAQhO9IvIO1SNyoQwpVErKpoBIXVPFTuHBz4iUJtddR7LSBp8ec&#10;4Dia0cw35Xq2Rhxo9L1jhMtFAoK4cbrnFuHt9f4iA+GDYq2MY0L4Ig/r6vSkVIV2R36hwy60Ipaw&#10;LxRCF8JQSOmbjqzyCzcQR+/DjVaFKMdW6lEdY7k1Mk2SlbSq57jQqYE2HTX73WQRPm2+2feZupse&#10;TJ0/vT9vH1ffW8Tzs/n2BkSgOfyF4Rc/okMVmWo3sfbCIMQjAWGZpCCim2bpEkSNcHWdg6xK+R+/&#10;+gEAAP//AwBQSwECLQAUAAYACAAAACEAtoM4kv4AAADhAQAAEwAAAAAAAAAAAAAAAAAAAAAAW0Nv&#10;bnRlbnRfVHlwZXNdLnhtbFBLAQItABQABgAIAAAAIQA4/SH/1gAAAJQBAAALAAAAAAAAAAAAAAAA&#10;AC8BAABfcmVscy8ucmVsc1BLAQItABQABgAIAAAAIQB0sJdtwwMAANELAAAOAAAAAAAAAAAAAAAA&#10;AC4CAABkcnMvZTJvRG9jLnhtbFBLAQItABQABgAIAAAAIQD6pcg9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39ED939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6A44A21C" w14:textId="77777777" w:rsidR="00A83DBA" w:rsidRDefault="00A83DBA" w:rsidP="00A83DBA">
      <w:pPr>
        <w:spacing w:after="0" w:line="276" w:lineRule="auto"/>
        <w:rPr>
          <w:rFonts w:ascii="Arial" w:hAnsi="Arial" w:cs="Arial"/>
          <w:b/>
          <w:sz w:val="24"/>
          <w:szCs w:val="26"/>
        </w:rPr>
      </w:pPr>
    </w:p>
    <w:p w14:paraId="660BEF3A" w14:textId="30AE7AFB"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employers with 25 or more </w:t>
      </w:r>
      <w:r>
        <w:rPr>
          <w:rFonts w:ascii="Arial" w:hAnsi="Arial" w:cs="Arial"/>
          <w:i/>
          <w:sz w:val="24"/>
          <w:szCs w:val="26"/>
        </w:rPr>
        <w:t>covered individuals</w:t>
      </w:r>
    </w:p>
    <w:p w14:paraId="72E562DA" w14:textId="77777777" w:rsidR="00A83DBA" w:rsidRDefault="00A83DBA" w:rsidP="00A83DBA">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A83DBA" w14:paraId="75763F6C" w14:textId="77777777" w:rsidTr="00C536E6">
        <w:tc>
          <w:tcPr>
            <w:tcW w:w="3116" w:type="dxa"/>
          </w:tcPr>
          <w:p w14:paraId="650E3CC7"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6E3E9A9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2BDC688"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5B501372" w14:textId="77777777" w:rsidTr="00C536E6">
        <w:tc>
          <w:tcPr>
            <w:tcW w:w="3116" w:type="dxa"/>
          </w:tcPr>
          <w:p w14:paraId="546C015A"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4E7CC1EC"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2328479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.75%</w:t>
            </w:r>
          </w:p>
        </w:tc>
      </w:tr>
    </w:tbl>
    <w:p w14:paraId="2A06EC35" w14:textId="77777777" w:rsidR="00A83DBA" w:rsidRDefault="00A83DBA" w:rsidP="00A83DBA">
      <w:pPr>
        <w:spacing w:after="0" w:line="276" w:lineRule="auto"/>
        <w:rPr>
          <w:rFonts w:ascii="Arial" w:hAnsi="Arial" w:cs="Arial"/>
          <w:b/>
          <w:sz w:val="24"/>
          <w:szCs w:val="26"/>
        </w:rPr>
      </w:pPr>
    </w:p>
    <w:p w14:paraId="66A08764" w14:textId="5AC6D84C" w:rsidR="00A83DBA" w:rsidRPr="001A6F1B" w:rsidRDefault="00A83DBA" w:rsidP="00A83DBA">
      <w:pPr>
        <w:spacing w:after="0" w:line="276" w:lineRule="auto"/>
        <w:rPr>
          <w:rFonts w:ascii="Arial" w:hAnsi="Arial" w:cs="Arial"/>
        </w:rPr>
      </w:pPr>
      <w:bookmarkStart w:id="8" w:name="_Hlk10551009"/>
      <w:r w:rsidRPr="001A6F1B">
        <w:rPr>
          <w:rFonts w:ascii="Arial" w:hAnsi="Arial" w:cs="Arial"/>
          <w:szCs w:val="24"/>
        </w:rPr>
        <w:t>On October 1, 2019,</w:t>
      </w:r>
      <w:r w:rsidRPr="001A6F1B">
        <w:rPr>
          <w:rFonts w:ascii="Arial" w:hAnsi="Arial" w:cs="Arial"/>
        </w:rPr>
        <w:t xml:space="preserve"> contributions to the Department of Family and Medical Leave (DFML) Employment Se</w:t>
      </w:r>
      <w:r w:rsidR="000E289A" w:rsidRPr="001A6F1B">
        <w:rPr>
          <w:rFonts w:ascii="Arial" w:hAnsi="Arial" w:cs="Arial"/>
        </w:rPr>
        <w:t>curity Trust Fund will begin. A</w:t>
      </w:r>
      <w:r w:rsidRPr="001A6F1B">
        <w:rPr>
          <w:rFonts w:ascii="Arial" w:hAnsi="Arial" w:cs="Arial"/>
        </w:rPr>
        <w:t xml:space="preserve"> </w:t>
      </w:r>
      <w:r w:rsidR="000E289A" w:rsidRPr="001A6F1B">
        <w:rPr>
          <w:rFonts w:ascii="Arial" w:hAnsi="Arial" w:cs="Arial"/>
        </w:rPr>
        <w:t>covered business entity</w:t>
      </w:r>
      <w:r w:rsidRPr="001A6F1B">
        <w:rPr>
          <w:rFonts w:ascii="Arial" w:hAnsi="Arial" w:cs="Arial"/>
        </w:rPr>
        <w:t xml:space="preserve"> will be responsible for sending contributions to the DFML for all employees.</w:t>
      </w:r>
    </w:p>
    <w:p w14:paraId="3776F4E0"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699CFE47" w14:textId="77777777" w:rsidR="00A83DBA" w:rsidRPr="001A6F1B" w:rsidRDefault="00A83DBA" w:rsidP="00A83DBA">
      <w:pPr>
        <w:spacing w:after="0" w:line="276" w:lineRule="auto"/>
        <w:rPr>
          <w:rFonts w:ascii="Arial" w:hAnsi="Arial" w:cs="Arial"/>
        </w:rPr>
      </w:pPr>
      <w:r w:rsidRPr="001A6F1B">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46D3DFE1" w14:textId="77777777" w:rsidR="00A83DBA" w:rsidRPr="001A6F1B" w:rsidRDefault="00A83DBA" w:rsidP="00A83DBA">
      <w:pPr>
        <w:spacing w:after="0" w:line="276" w:lineRule="auto"/>
        <w:rPr>
          <w:rFonts w:ascii="Arial" w:hAnsi="Arial" w:cs="Arial"/>
        </w:rPr>
      </w:pPr>
      <w:r w:rsidRPr="001A6F1B">
        <w:rPr>
          <w:rFonts w:ascii="Arial" w:hAnsi="Arial" w:cs="Arial"/>
        </w:rPr>
        <w:t xml:space="preserve"> </w:t>
      </w:r>
    </w:p>
    <w:p w14:paraId="49409EC4" w14:textId="04FEFA78" w:rsidR="00A83DBA" w:rsidRDefault="00A83DBA" w:rsidP="00A83DBA">
      <w:pPr>
        <w:spacing w:after="0" w:line="276" w:lineRule="auto"/>
        <w:rPr>
          <w:rFonts w:ascii="Arial" w:hAnsi="Arial" w:cs="Arial"/>
        </w:rPr>
      </w:pPr>
      <w:r w:rsidRPr="001A6F1B">
        <w:rPr>
          <w:rFonts w:ascii="Arial" w:hAnsi="Arial" w:cs="Arial"/>
        </w:rPr>
        <w:t xml:space="preserve">Under the law, </w:t>
      </w:r>
      <w:r w:rsidR="000E289A" w:rsidRPr="001A6F1B">
        <w:rPr>
          <w:rFonts w:ascii="Arial" w:hAnsi="Arial" w:cs="Arial"/>
        </w:rPr>
        <w:t xml:space="preserve">covered business entities </w:t>
      </w:r>
      <w:r w:rsidRPr="001A6F1B">
        <w:rPr>
          <w:rFonts w:ascii="Arial" w:hAnsi="Arial" w:cs="Arial"/>
        </w:rPr>
        <w:t xml:space="preserve">are responsible for a minimum of 60% of the medical leave contribution (.372% of wages), but are permitted to deduct from </w:t>
      </w:r>
      <w:r w:rsidR="000E289A" w:rsidRPr="001A6F1B">
        <w:rPr>
          <w:rFonts w:ascii="Arial" w:hAnsi="Arial" w:cs="Arial"/>
        </w:rPr>
        <w:t>payments to contractors</w:t>
      </w:r>
      <w:r w:rsidRPr="001A6F1B">
        <w:rPr>
          <w:rFonts w:ascii="Arial" w:hAnsi="Arial" w:cs="Arial"/>
        </w:rPr>
        <w:t xml:space="preserve"> up to 40% of the medical leave contribution (.248% of wages) and up to 100% of the family leave contributio</w:t>
      </w:r>
      <w:r w:rsidRPr="000E289A">
        <w:rPr>
          <w:rFonts w:ascii="Arial" w:hAnsi="Arial" w:cs="Arial"/>
        </w:rPr>
        <w:t>n (.13% of wages).</w:t>
      </w:r>
      <w:r>
        <w:rPr>
          <w:rFonts w:ascii="Arial" w:hAnsi="Arial" w:cs="Arial"/>
        </w:rPr>
        <w:t xml:space="preserve"> </w:t>
      </w:r>
    </w:p>
    <w:bookmarkEnd w:id="8"/>
    <w:p w14:paraId="4F17B1D9" w14:textId="77777777" w:rsidR="00A83DBA" w:rsidRDefault="00A83DBA" w:rsidP="00A83DBA">
      <w:pPr>
        <w:spacing w:after="0" w:line="276" w:lineRule="auto"/>
        <w:rPr>
          <w:rFonts w:ascii="Arial" w:hAnsi="Arial" w:cs="Arial"/>
          <w:b/>
          <w:sz w:val="24"/>
          <w:szCs w:val="26"/>
        </w:rPr>
      </w:pPr>
    </w:p>
    <w:p w14:paraId="5B0EBA35" w14:textId="77777777" w:rsidR="00A83DBA" w:rsidRDefault="00A83DBA" w:rsidP="00A83DBA">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222DBD4C"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5F0A5E11"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BC791B6"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A83DBA" w:rsidRPr="00E157A2" w14:paraId="518BDEEF"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4FC3DFB4"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2869E717"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01D32A03"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CFF619A"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0C50006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42B52E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3D17E3DF"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88DC358"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7940A03" w14:textId="77777777" w:rsidTr="001A6F1B">
        <w:trPr>
          <w:cantSplit/>
          <w:trHeight w:val="843"/>
          <w:jc w:val="center"/>
        </w:trPr>
        <w:tc>
          <w:tcPr>
            <w:tcW w:w="385" w:type="dxa"/>
            <w:vMerge/>
            <w:tcBorders>
              <w:left w:val="single" w:sz="12" w:space="0" w:color="002060"/>
              <w:bottom w:val="single" w:sz="12" w:space="0" w:color="002060"/>
              <w:right w:val="nil"/>
            </w:tcBorders>
            <w:shd w:val="clear" w:color="auto" w:fill="14558F"/>
          </w:tcPr>
          <w:p w14:paraId="7DF45A1A"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2318B23"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shd w:val="clear" w:color="auto" w:fill="auto"/>
          </w:tcPr>
          <w:p w14:paraId="61B38292" w14:textId="2B3B96AB"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3EA5187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5EA88FFB"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03A8689A"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EC19C4E"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4965DAA"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510B54" w14:textId="77777777" w:rsidR="00A83DBA" w:rsidRPr="00B37BF8" w:rsidRDefault="00A83DBA" w:rsidP="00A83DBA">
      <w:pPr>
        <w:spacing w:after="0" w:line="276" w:lineRule="auto"/>
        <w:rPr>
          <w:rFonts w:ascii="Arial" w:hAnsi="Arial" w:cs="Arial"/>
          <w:b/>
          <w:sz w:val="24"/>
          <w:szCs w:val="26"/>
        </w:rPr>
      </w:pPr>
    </w:p>
    <w:p w14:paraId="012C611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2C68055B"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1E96A04E"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390931A"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24F0F4D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DA23908"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4372B63E"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2C651EA"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2D4130A9"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8F49524"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A0A6670"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C08A0CB"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20D57E0"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00EAB73D"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AED5BA8"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0EE2126D"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11E9A3A3" w14:textId="58D95426" w:rsidR="00A83DBA" w:rsidRPr="00190D42" w:rsidRDefault="00A83DBA" w:rsidP="00C536E6">
            <w:pPr>
              <w:jc w:val="center"/>
              <w:rPr>
                <w:rFonts w:ascii="Arial" w:eastAsia="Times New Roman" w:hAnsi="Arial" w:cs="Arial"/>
                <w:szCs w:val="24"/>
              </w:rPr>
            </w:pPr>
            <w:r w:rsidRPr="00190D42">
              <w:rPr>
                <w:rFonts w:ascii="Arial" w:eastAsia="Times New Roman" w:hAnsi="Arial" w:cs="Arial"/>
                <w:szCs w:val="24"/>
              </w:rPr>
              <w:t>(</w:t>
            </w:r>
            <w:r w:rsidR="000E289A" w:rsidRPr="001A6F1B">
              <w:rPr>
                <w:rFonts w:ascii="Arial" w:eastAsia="Times New Roman" w:hAnsi="Arial" w:cs="Arial"/>
                <w:szCs w:val="24"/>
              </w:rPr>
              <w:t>Organization</w:t>
            </w:r>
            <w:r w:rsidRPr="00190D42">
              <w:rPr>
                <w:rFonts w:ascii="Arial" w:eastAsia="Times New Roman" w:hAnsi="Arial" w:cs="Arial"/>
                <w:szCs w:val="24"/>
              </w:rPr>
              <w:t xml:space="preserve"> Name)</w:t>
            </w:r>
          </w:p>
        </w:tc>
        <w:tc>
          <w:tcPr>
            <w:tcW w:w="271" w:type="dxa"/>
            <w:vMerge/>
            <w:tcBorders>
              <w:top w:val="nil"/>
              <w:left w:val="nil"/>
              <w:bottom w:val="single" w:sz="12" w:space="0" w:color="000000"/>
              <w:right w:val="nil"/>
            </w:tcBorders>
          </w:tcPr>
          <w:p w14:paraId="4B3754FE"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24C477A1"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02E2FC9"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6EBF2C2"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44CCD3EB"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4AC6C6C6" w14:textId="0D67BFF6" w:rsidR="00A83DBA" w:rsidRDefault="00A83DBA" w:rsidP="00F94724">
      <w:pPr>
        <w:spacing w:after="0" w:line="276" w:lineRule="auto"/>
        <w:rPr>
          <w:rFonts w:ascii="Arial" w:hAnsi="Arial" w:cs="Arial"/>
          <w:sz w:val="24"/>
          <w:szCs w:val="24"/>
        </w:rPr>
      </w:pPr>
    </w:p>
    <w:p w14:paraId="0263FEB2" w14:textId="079AB682" w:rsidR="00A83DBA" w:rsidRPr="00F94724" w:rsidRDefault="00A83DBA" w:rsidP="00916BDC">
      <w:pPr>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BE0E" w14:textId="77777777" w:rsidR="00F16A29" w:rsidRDefault="00F16A29" w:rsidP="005B6192">
      <w:pPr>
        <w:spacing w:after="0" w:line="240" w:lineRule="auto"/>
      </w:pPr>
      <w:r>
        <w:separator/>
      </w:r>
    </w:p>
  </w:endnote>
  <w:endnote w:type="continuationSeparator" w:id="0">
    <w:p w14:paraId="7B22BDAB" w14:textId="77777777" w:rsidR="00F16A29" w:rsidRDefault="00F16A29"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290C21A5"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071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071D">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6EBD1" w14:textId="77777777" w:rsidR="00F16A29" w:rsidRDefault="00F16A29" w:rsidP="005B6192">
      <w:pPr>
        <w:spacing w:after="0" w:line="240" w:lineRule="auto"/>
      </w:pPr>
      <w:r>
        <w:separator/>
      </w:r>
    </w:p>
  </w:footnote>
  <w:footnote w:type="continuationSeparator" w:id="0">
    <w:p w14:paraId="00A0CC36" w14:textId="77777777" w:rsidR="00F16A29" w:rsidRDefault="00F16A29" w:rsidP="005B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6634" w14:textId="08E52388" w:rsidR="005B6192" w:rsidRDefault="005B6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92"/>
    <w:rsid w:val="000430BE"/>
    <w:rsid w:val="00047616"/>
    <w:rsid w:val="000653ED"/>
    <w:rsid w:val="000A2582"/>
    <w:rsid w:val="000A3640"/>
    <w:rsid w:val="000E04F1"/>
    <w:rsid w:val="000E289A"/>
    <w:rsid w:val="000F4219"/>
    <w:rsid w:val="000F6AD0"/>
    <w:rsid w:val="00135AB0"/>
    <w:rsid w:val="00146FB7"/>
    <w:rsid w:val="001539CD"/>
    <w:rsid w:val="001A58AD"/>
    <w:rsid w:val="001A6F1B"/>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E40BD"/>
    <w:rsid w:val="003F3F18"/>
    <w:rsid w:val="00452A3A"/>
    <w:rsid w:val="00457CC4"/>
    <w:rsid w:val="00472B34"/>
    <w:rsid w:val="004C2253"/>
    <w:rsid w:val="004F0899"/>
    <w:rsid w:val="004F1254"/>
    <w:rsid w:val="004F3CB9"/>
    <w:rsid w:val="00514933"/>
    <w:rsid w:val="0052593D"/>
    <w:rsid w:val="00536C12"/>
    <w:rsid w:val="00555A96"/>
    <w:rsid w:val="0057692E"/>
    <w:rsid w:val="00583131"/>
    <w:rsid w:val="005A6F6C"/>
    <w:rsid w:val="005A73F3"/>
    <w:rsid w:val="005B53EA"/>
    <w:rsid w:val="005B6192"/>
    <w:rsid w:val="005D14D9"/>
    <w:rsid w:val="006250BD"/>
    <w:rsid w:val="00626F26"/>
    <w:rsid w:val="00636FA3"/>
    <w:rsid w:val="00647EA1"/>
    <w:rsid w:val="006828A4"/>
    <w:rsid w:val="006837C1"/>
    <w:rsid w:val="00687741"/>
    <w:rsid w:val="006B6728"/>
    <w:rsid w:val="006B77A7"/>
    <w:rsid w:val="006C0957"/>
    <w:rsid w:val="006C104C"/>
    <w:rsid w:val="00736CB3"/>
    <w:rsid w:val="0074438B"/>
    <w:rsid w:val="00745298"/>
    <w:rsid w:val="0077030B"/>
    <w:rsid w:val="00795D82"/>
    <w:rsid w:val="00797524"/>
    <w:rsid w:val="007A4ED8"/>
    <w:rsid w:val="007C7AFC"/>
    <w:rsid w:val="007E27A3"/>
    <w:rsid w:val="00800DB2"/>
    <w:rsid w:val="00803AC5"/>
    <w:rsid w:val="00822432"/>
    <w:rsid w:val="0089356F"/>
    <w:rsid w:val="00894CE9"/>
    <w:rsid w:val="008A5DC0"/>
    <w:rsid w:val="008A6D1C"/>
    <w:rsid w:val="008B3E85"/>
    <w:rsid w:val="008C0E06"/>
    <w:rsid w:val="008C4709"/>
    <w:rsid w:val="008D00DF"/>
    <w:rsid w:val="008D61B8"/>
    <w:rsid w:val="009021B0"/>
    <w:rsid w:val="0091633F"/>
    <w:rsid w:val="00916BDC"/>
    <w:rsid w:val="00952EDA"/>
    <w:rsid w:val="009A3025"/>
    <w:rsid w:val="009A617B"/>
    <w:rsid w:val="009B4DC2"/>
    <w:rsid w:val="009C36C7"/>
    <w:rsid w:val="009D0F4E"/>
    <w:rsid w:val="009E3F46"/>
    <w:rsid w:val="009E64CB"/>
    <w:rsid w:val="009F5CF1"/>
    <w:rsid w:val="00A1071D"/>
    <w:rsid w:val="00A10A61"/>
    <w:rsid w:val="00A202BB"/>
    <w:rsid w:val="00A23B9F"/>
    <w:rsid w:val="00A27CBF"/>
    <w:rsid w:val="00A61180"/>
    <w:rsid w:val="00A666CA"/>
    <w:rsid w:val="00A83DBA"/>
    <w:rsid w:val="00A92A30"/>
    <w:rsid w:val="00AA23B9"/>
    <w:rsid w:val="00AA56AF"/>
    <w:rsid w:val="00B06A2F"/>
    <w:rsid w:val="00B25049"/>
    <w:rsid w:val="00B43B3F"/>
    <w:rsid w:val="00B47390"/>
    <w:rsid w:val="00B5783F"/>
    <w:rsid w:val="00B642C6"/>
    <w:rsid w:val="00B64529"/>
    <w:rsid w:val="00BA7508"/>
    <w:rsid w:val="00BB18D7"/>
    <w:rsid w:val="00BC66E9"/>
    <w:rsid w:val="00BE587E"/>
    <w:rsid w:val="00BE6256"/>
    <w:rsid w:val="00BF407C"/>
    <w:rsid w:val="00C31B6E"/>
    <w:rsid w:val="00C337D7"/>
    <w:rsid w:val="00C34B37"/>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C6FE6"/>
    <w:rsid w:val="00EF0B3C"/>
    <w:rsid w:val="00F1020B"/>
    <w:rsid w:val="00F12302"/>
    <w:rsid w:val="00F16A29"/>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F6EA-E093-4CF7-99F6-92EF60E0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per002-admin</cp:lastModifiedBy>
  <cp:revision>2</cp:revision>
  <cp:lastPrinted>2019-04-03T20:19:00Z</cp:lastPrinted>
  <dcterms:created xsi:type="dcterms:W3CDTF">2019-07-15T18:53:00Z</dcterms:created>
  <dcterms:modified xsi:type="dcterms:W3CDTF">2019-07-15T18:53:00Z</dcterms:modified>
</cp:coreProperties>
</file>